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для определения гиперактивности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349" w:type="dxa"/>
        <w:jc w:val="left"/>
        <w:tblInd w:w="-74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7"/>
        <w:gridCol w:w="1878"/>
        <w:gridCol w:w="1701"/>
        <w:gridCol w:w="1700"/>
        <w:gridCol w:w="1703"/>
      </w:tblGrid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Наблюдаемые признаки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Отсутствуют (0)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Низкая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Довольно высокая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Очень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высокая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Двигательное беспокойство (постоянно находится в движении)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Раздражительность, импульсивность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Вмешательство в занятия других детей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Частая и быстрая переключаемость внимания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Постоянное ёрзанье на месте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Невнимательность, отвлекаемость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Нетерпеливость и быстрое разочарование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Плаксивость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Быстрая и резкая смена настроения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Склонность к проявлениям ярости; взрывное, непредсказуемое поведение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сумма</w:t>
            </w:r>
          </w:p>
        </w:tc>
        <w:tc>
          <w:tcPr>
            <w:tcW w:w="18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Заполнению анкеты должен предшествовать, как минимум четырёхнедельный период наблюдения за ребёнком.</w:t>
      </w:r>
    </w:p>
    <w:p>
      <w:pPr>
        <w:pStyle w:val="Normal"/>
        <w:spacing w:before="0" w:after="20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Если в сумме набирается более 15 очков, то возможно предполагать наличие у ребёнка гиперактивности.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a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11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11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LibreOffice/5.3.3.2$Windows_x86 LibreOffice_project/3d9a8b4b4e538a85e0782bd6c2d430bafe583448</Application>
  <Pages>1</Pages>
  <Words>94</Words>
  <Characters>662</Characters>
  <CharactersWithSpaces>734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2017-04-06T02:02:00Z</dcterms:created>
  <dc:creator>Admin</dc:creator>
  <dc:description/>
  <dc:language>ru-RU</dc:language>
  <cp:lastModifiedBy/>
  <cp:lastPrinted>2018-11-12T16:25:19Z</cp:lastPrinted>
  <dcterms:modified xsi:type="dcterms:W3CDTF">2018-11-12T16:27:51Z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